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20D32E4F" w:rsid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SWZ – </w:t>
      </w:r>
      <w:r w:rsidR="00291AEA">
        <w:rPr>
          <w:rFonts w:ascii="Verdana" w:eastAsia="Verdana" w:hAnsi="Verdana"/>
          <w:b/>
          <w:sz w:val="18"/>
          <w:szCs w:val="18"/>
        </w:rPr>
        <w:t>SPECYFIKACJA TECHNICZNA</w:t>
      </w:r>
      <w:r w:rsidR="001F71C7">
        <w:rPr>
          <w:rFonts w:ascii="Verdana" w:eastAsia="Verdana" w:hAnsi="Verdana"/>
          <w:b/>
          <w:sz w:val="18"/>
          <w:szCs w:val="18"/>
        </w:rPr>
        <w:t xml:space="preserve"> dla części </w:t>
      </w:r>
      <w:r w:rsidR="00630D64">
        <w:rPr>
          <w:rFonts w:ascii="Verdana" w:eastAsia="Verdana" w:hAnsi="Verdana"/>
          <w:b/>
          <w:sz w:val="18"/>
          <w:szCs w:val="18"/>
        </w:rPr>
        <w:t>4</w:t>
      </w:r>
    </w:p>
    <w:p w14:paraId="5AD946F6" w14:textId="77777777" w:rsidR="00DF03A1" w:rsidRPr="004B4087" w:rsidRDefault="00DF03A1" w:rsidP="00DF03A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C843637" w14:textId="77777777" w:rsidR="00DF03A1" w:rsidRPr="004B4087" w:rsidRDefault="00DF03A1" w:rsidP="00DF03A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5720B691" w14:textId="77777777" w:rsidR="00DF03A1" w:rsidRPr="004B4087" w:rsidRDefault="00DF03A1" w:rsidP="00DF03A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Opracowanie </w:t>
      </w:r>
      <w:r w:rsidRPr="004B4087">
        <w:rPr>
          <w:rFonts w:ascii="Verdana" w:hAnsi="Verdana"/>
          <w:sz w:val="18"/>
          <w:szCs w:val="18"/>
          <w:lang w:val="pl-PL"/>
        </w:rPr>
        <w:t xml:space="preserve"> projektu technicznego,</w:t>
      </w:r>
    </w:p>
    <w:p w14:paraId="1D08C9AC" w14:textId="77777777" w:rsidR="00DF03A1" w:rsidRPr="004B4087" w:rsidRDefault="00DF03A1" w:rsidP="00DF03A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752D7BA9" w14:textId="77777777" w:rsidR="00DF03A1" w:rsidRPr="004B4087" w:rsidRDefault="00DF03A1" w:rsidP="00DF03A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6CEDFABA" w14:textId="77777777" w:rsidR="00DF03A1" w:rsidRPr="004B4087" w:rsidRDefault="00DF03A1" w:rsidP="00DF03A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00B8A6FD" w14:textId="77777777" w:rsidR="00DF03A1" w:rsidRPr="004B4087" w:rsidRDefault="00DF03A1" w:rsidP="00DF03A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prac pomiarowych, badań pomontażowych,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46EADD4D" w14:textId="77777777" w:rsidR="00DF03A1" w:rsidRPr="004B4087" w:rsidRDefault="00DF03A1" w:rsidP="00DF03A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B389EF4" w14:textId="77777777" w:rsidR="00DF03A1" w:rsidRPr="004B4087" w:rsidRDefault="00DF03A1" w:rsidP="00DF03A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0636BCA1" w14:textId="77777777" w:rsidR="00DF03A1" w:rsidRPr="004B4087" w:rsidRDefault="00DF03A1" w:rsidP="00DF03A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7CEF12A0" w14:textId="77777777" w:rsidR="00DF03A1" w:rsidRPr="006B6C24" w:rsidRDefault="00DF03A1" w:rsidP="00DF03A1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bCs/>
          <w:iCs/>
          <w:color w:val="FF0000"/>
          <w:sz w:val="18"/>
          <w:szCs w:val="18"/>
          <w:lang w:val="pl-PL" w:eastAsia="pl-PL"/>
        </w:rPr>
      </w:pPr>
      <w:r w:rsidRPr="006B6C24">
        <w:rPr>
          <w:rFonts w:asciiTheme="minorHAnsi" w:hAnsiTheme="minorHAnsi" w:cstheme="minorHAnsi"/>
          <w:b w:val="0"/>
          <w:bCs/>
          <w:iCs/>
          <w:color w:val="FF0000"/>
          <w:lang w:val="pl-PL" w:eastAsia="en-US"/>
        </w:rPr>
        <w:t xml:space="preserve">Wymiana istniejącego rozłącznika radiowego SN nr 44-R-2396 na nowy rozłącznik SN sterowany zdalnie na linii 15 kV Sochaczew - Teresin. </w:t>
      </w:r>
      <w:r w:rsidRPr="006B6C24">
        <w:rPr>
          <w:rFonts w:ascii="Verdana" w:hAnsi="Verdana" w:cs="Calibri"/>
          <w:b w:val="0"/>
          <w:bCs/>
          <w:iCs/>
          <w:color w:val="FF0000"/>
          <w:sz w:val="18"/>
          <w:szCs w:val="18"/>
          <w:lang w:val="pl-PL" w:eastAsia="pl-PL"/>
        </w:rPr>
        <w:t xml:space="preserve"> </w:t>
      </w:r>
    </w:p>
    <w:p w14:paraId="7AAA6F6B" w14:textId="77777777" w:rsidR="00DF03A1" w:rsidRPr="004B4087" w:rsidRDefault="00DF03A1" w:rsidP="00DF03A1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77816044" w14:textId="77777777" w:rsidR="00DF03A1" w:rsidRPr="004B4087" w:rsidRDefault="00DF03A1" w:rsidP="00DF03A1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Realizacja prac polega na:</w:t>
      </w:r>
    </w:p>
    <w:p w14:paraId="39570F68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Opracowaniu dokumentacji technicznej na wymianę łączników SN sterowanych zdalnie (rozłącznik SN, reklozer SN) i uzgodnienie jej w Centrali Oddziału Łódź </w:t>
      </w:r>
    </w:p>
    <w:p w14:paraId="5BF6E89D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Demontażu istniejącego rozłącznika SN sterowanego zdalnie / reklozera SN sterowanego zdalnie w linii napowietrznej SN wraz z kompletnym napędem i szafką sterowniczą, </w:t>
      </w:r>
    </w:p>
    <w:p w14:paraId="2A46B517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Montażu nowego rozłącznika SN sterowanego zdalnie / reklozera SN sterowanego zdalnie </w:t>
      </w:r>
      <w:r w:rsidRPr="004B4087">
        <w:rPr>
          <w:rFonts w:ascii="Verdana" w:hAnsi="Verdana" w:cs="Calibri"/>
          <w:sz w:val="18"/>
          <w:szCs w:val="18"/>
        </w:rPr>
        <w:br/>
        <w:t>wykonanego zgodnie z WBSE w miejscu zdemontowanego łącznika SN w linii napowietrznej SN,</w:t>
      </w:r>
    </w:p>
    <w:p w14:paraId="759DF5F7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Montażu kompletnego zestawu napędowego wraz z szafką sterowniczą wyposażoną także </w:t>
      </w:r>
      <w:r w:rsidRPr="004B4087">
        <w:rPr>
          <w:rFonts w:ascii="Verdana" w:hAnsi="Verdana" w:cs="Calibri"/>
          <w:sz w:val="18"/>
          <w:szCs w:val="18"/>
        </w:rPr>
        <w:br/>
        <w:t>w zasilacz buforowy i sterownik telemechaniki, dla wymienianych reklozerów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47F1F0ED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jedną skrzynkę sterowniczo-sygnalizacyjną,</w:t>
      </w:r>
    </w:p>
    <w:p w14:paraId="27B49907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rozłączniki w izolacji silikonowej o prądzie znamionowym 630A,</w:t>
      </w:r>
    </w:p>
    <w:p w14:paraId="565F6EB8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26276622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Montażu szafki sterowniczej na żerdzi słupowej na wysokości: </w:t>
      </w:r>
    </w:p>
    <w:p w14:paraId="5085DF4C" w14:textId="77777777" w:rsidR="00DF03A1" w:rsidRPr="004B4087" w:rsidRDefault="00DF03A1" w:rsidP="00DF03A1">
      <w:pPr>
        <w:pStyle w:val="Akapitzlist"/>
        <w:numPr>
          <w:ilvl w:val="0"/>
          <w:numId w:val="43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AD4423F" w14:textId="77777777" w:rsidR="00DF03A1" w:rsidRPr="004B4087" w:rsidRDefault="00DF03A1" w:rsidP="00DF03A1">
      <w:pPr>
        <w:pStyle w:val="Akapitzlist"/>
        <w:numPr>
          <w:ilvl w:val="0"/>
          <w:numId w:val="43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7BFE4A58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Montażu dwóch kompletów ograniczników przepięć SN – po jednym komplecie z każdej strony łącznika SN,</w:t>
      </w:r>
    </w:p>
    <w:p w14:paraId="6576FB8A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Połączenia prądowe obwodów pierwotnych realizować przewodem w niepełnej izolacji typu AASXSn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09CDACA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Montażu ograniczników przepięć nn w szafce sterowniczej – na wejściu zasilania do ww. szafki – sygnalizację uszkodzenia ograniczników przepięć należy wpiąć do systemu nadzoru dyspozytorskiego WindEX ,</w:t>
      </w:r>
    </w:p>
    <w:p w14:paraId="3C824250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Pr="004B4087">
        <w:rPr>
          <w:rFonts w:ascii="Verdana" w:hAnsi="Verdana" w:cs="Calibri"/>
          <w:sz w:val="18"/>
          <w:szCs w:val="18"/>
        </w:rPr>
        <w:br/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>C ÷ + 55</w:t>
      </w:r>
      <w:r w:rsidRPr="004B4087">
        <w:rPr>
          <w:rFonts w:ascii="Verdana" w:hAnsi="Verdana" w:cs="Calibri"/>
          <w:sz w:val="18"/>
          <w:szCs w:val="18"/>
          <w:vertAlign w:val="superscript"/>
        </w:rPr>
        <w:t xml:space="preserve"> o</w:t>
      </w:r>
      <w:r w:rsidRPr="004B4087">
        <w:rPr>
          <w:rFonts w:ascii="Verdana" w:hAnsi="Verdana" w:cs="Calibri"/>
          <w:sz w:val="18"/>
          <w:szCs w:val="18"/>
        </w:rPr>
        <w:t xml:space="preserve">C       </w:t>
      </w:r>
    </w:p>
    <w:p w14:paraId="6C36C31D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Weryfikację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  <w:t xml:space="preserve">o wartości  R≤10Ω (po przeliczeniu z uwzględnieniem współczynników korekcyjnych dla danego gruntu) </w:t>
      </w:r>
    </w:p>
    <w:p w14:paraId="0BE81764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lastRenderedPageBreak/>
        <w:t>Podłączeniu przekładników napięciowych / kombisensorów realizować od strony zasilania linii SN w układzie normalnym – uzgodnić z RE na etapie prac projektowych,</w:t>
      </w:r>
    </w:p>
    <w:p w14:paraId="61D60183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sygnału sterującego i dostosować do niego odpowiedniej mocy antenę (np. antenę kierunkową),</w:t>
      </w:r>
    </w:p>
    <w:p w14:paraId="6A04E28B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Zastosować moduł komunikacyjny umożliwiający łączność w systemie GPRS oraz LTE450,</w:t>
      </w:r>
    </w:p>
    <w:p w14:paraId="5873D42C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Sygnalizację wraz z pomiarami z zainstalowanego łącznika SN należy zaimplementować do systemu nadzoru dyspozytorskiego WindEX wraz z odwzorowaniem stanu położenia łącznika SN,</w:t>
      </w:r>
    </w:p>
    <w:p w14:paraId="6E9F887A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7943B11E" w14:textId="77777777" w:rsidR="00DF03A1" w:rsidRPr="004B4087" w:rsidRDefault="00DF03A1" w:rsidP="00DF03A1">
      <w:pPr>
        <w:pStyle w:val="Akapitzlist"/>
        <w:numPr>
          <w:ilvl w:val="3"/>
          <w:numId w:val="36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>
        <w:rPr>
          <w:rFonts w:ascii="Verdana" w:hAnsi="Verdana" w:cs="Calibri"/>
          <w:color w:val="FF0000"/>
          <w:sz w:val="18"/>
          <w:szCs w:val="18"/>
        </w:rPr>
        <w:t>4 Łowicz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o poprawności wprowadzonych danych do systemu nadzoru dyspozytorskiego WindEX wraz z przeprowadzonymi próbami funkcjonalnymi łącznika lokalnie</w:t>
      </w:r>
      <w:r w:rsidRPr="004B4087">
        <w:rPr>
          <w:rFonts w:ascii="Verdana" w:hAnsi="Verdana" w:cs="Calibri"/>
          <w:sz w:val="18"/>
          <w:szCs w:val="18"/>
        </w:rPr>
        <w:br/>
        <w:t xml:space="preserve"> i zdalnie z poziomu systemu nadzoru dyspozytorskiego WindEX,</w:t>
      </w:r>
    </w:p>
    <w:p w14:paraId="34EED565" w14:textId="77777777" w:rsidR="00DF03A1" w:rsidRPr="004B4087" w:rsidRDefault="00DF03A1" w:rsidP="00DF03A1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>Przygotowanie dokumentacji technicznej</w:t>
      </w:r>
    </w:p>
    <w:p w14:paraId="497D4328" w14:textId="77777777" w:rsidR="00DF03A1" w:rsidRPr="004B4087" w:rsidRDefault="00DF03A1" w:rsidP="00DF03A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Pr="004B4087">
        <w:rPr>
          <w:rFonts w:ascii="Verdana" w:hAnsi="Verdana"/>
          <w:b/>
          <w:sz w:val="18"/>
          <w:szCs w:val="18"/>
        </w:rPr>
        <w:t xml:space="preserve"> </w:t>
      </w:r>
    </w:p>
    <w:p w14:paraId="65862999" w14:textId="77777777" w:rsidR="00DF03A1" w:rsidRPr="004B4087" w:rsidRDefault="00DF03A1" w:rsidP="00DF03A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budowy/przebudowy urządzeń elektroenergetycznych, sporządzonej zgodnie z normami, przepisami, zasadami współczesnej wiedzy technicznej, przepisami BHP.</w:t>
      </w:r>
    </w:p>
    <w:p w14:paraId="66F6CB24" w14:textId="77777777" w:rsidR="00DF03A1" w:rsidRPr="004B4087" w:rsidRDefault="00DF03A1" w:rsidP="00DF03A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Dystrybucja S.A. Oddział Łódź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S.A”.</w:t>
      </w:r>
    </w:p>
    <w:bookmarkEnd w:id="2"/>
    <w:p w14:paraId="24DC07E2" w14:textId="77777777" w:rsidR="00DF03A1" w:rsidRPr="004B4087" w:rsidRDefault="00DF03A1" w:rsidP="00DF03A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 xml:space="preserve">Dokumentacja projektowa będzie przedłożona Zamawiającemu </w:t>
      </w:r>
      <w:r w:rsidRPr="004B4087">
        <w:rPr>
          <w:rFonts w:ascii="Verdana" w:hAnsi="Verdana"/>
          <w:b/>
          <w:color w:val="000000"/>
          <w:sz w:val="18"/>
          <w:szCs w:val="18"/>
        </w:rPr>
        <w:t>do uzgodnienia i podlega akceptacji przed rozpoczęciem robót budowlano – montażowych</w:t>
      </w:r>
      <w:r w:rsidRPr="004B4087">
        <w:rPr>
          <w:rFonts w:ascii="Verdana" w:hAnsi="Verdana"/>
          <w:color w:val="000000"/>
          <w:sz w:val="18"/>
          <w:szCs w:val="18"/>
        </w:rPr>
        <w:t xml:space="preserve">. Uzgodnienie przez Zamawiającego projektu nie zwalnia Wykonawcy od zrealizowania zakresu prac zgodnie </w:t>
      </w:r>
      <w:r w:rsidRPr="004B4087">
        <w:rPr>
          <w:rFonts w:ascii="Verdana" w:hAnsi="Verdana"/>
          <w:color w:val="000000"/>
          <w:sz w:val="18"/>
          <w:szCs w:val="18"/>
        </w:rPr>
        <w:br/>
        <w:t>z wiedzą techniczną.</w:t>
      </w:r>
    </w:p>
    <w:p w14:paraId="282740D8" w14:textId="77777777" w:rsidR="00DF03A1" w:rsidRPr="004B4087" w:rsidRDefault="00DF03A1" w:rsidP="00DF03A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budowie realizowanej według wykonanej przez siebie dokumentacji technicznej, w zakresie czynności wynikających z Prawa Budowlanego.</w:t>
      </w:r>
    </w:p>
    <w:p w14:paraId="04EF6CD9" w14:textId="77777777" w:rsidR="00DF03A1" w:rsidRPr="004B4087" w:rsidRDefault="00DF03A1" w:rsidP="00DF03A1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702F7428" w14:textId="77777777" w:rsidR="00DF03A1" w:rsidRPr="004B4087" w:rsidRDefault="00DF03A1" w:rsidP="00DF03A1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uzgodnić prace z właścicielem nieruchomości (użytkownikiem wieczystym). Wyrażenie zgody na przeprowadzenie prac wymaga zachowania formy pisemnej.  </w:t>
      </w:r>
    </w:p>
    <w:p w14:paraId="67880CA1" w14:textId="77777777" w:rsidR="00DF03A1" w:rsidRPr="004B4087" w:rsidRDefault="00DF03A1" w:rsidP="00DF03A1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69595E1E" w14:textId="77777777" w:rsidR="00DF03A1" w:rsidRPr="004B4087" w:rsidRDefault="00DF03A1" w:rsidP="00DF03A1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247C98BD" w14:textId="77777777" w:rsidR="00DF03A1" w:rsidRPr="004B4087" w:rsidRDefault="00DF03A1" w:rsidP="00DF03A1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realizacji robót budowlan</w:t>
      </w:r>
      <w:r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5AFC5D74" w14:textId="77777777" w:rsidR="00DF03A1" w:rsidRPr="004B4087" w:rsidRDefault="00DF03A1" w:rsidP="00DF03A1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8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Cs/>
          <w:sz w:val="18"/>
          <w:szCs w:val="18"/>
          <w:lang w:eastAsia="x-none"/>
        </w:rPr>
        <w:t>dla każdego 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8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Cs/>
          <w:sz w:val="18"/>
          <w:szCs w:val="18"/>
          <w:lang w:eastAsia="x-none"/>
        </w:rPr>
        <w:t>dla każdego zadania.</w:t>
      </w:r>
      <w:r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1E9A2055" w14:textId="77777777" w:rsidR="00DF03A1" w:rsidRPr="004B4087" w:rsidRDefault="00DF03A1" w:rsidP="00DF03A1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 celu dotrzymania maksymalnych czasów w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łączeń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14:paraId="19D713A7" w14:textId="77777777" w:rsidR="00DF03A1" w:rsidRPr="004B4087" w:rsidRDefault="00DF03A1" w:rsidP="00DF03A1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Stacje transformatorowe 15/0,4 kV wskazane przez Zamawiającego do zasilania jednostkami prądotwórczymi:</w:t>
      </w:r>
    </w:p>
    <w:p w14:paraId="6B19BF0A" w14:textId="77777777" w:rsidR="00DF03A1" w:rsidRDefault="00DF03A1" w:rsidP="00DF03A1">
      <w:pPr>
        <w:pStyle w:val="Akapitzlist"/>
        <w:numPr>
          <w:ilvl w:val="4"/>
          <w:numId w:val="36"/>
        </w:numPr>
        <w:ind w:left="1418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Zosin, 44-0199 – 63 kVA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55C2C683" w14:textId="77777777" w:rsidR="00DF03A1" w:rsidRDefault="00DF03A1" w:rsidP="00DF03A1">
      <w:pPr>
        <w:pStyle w:val="Akapitzlist"/>
        <w:numPr>
          <w:ilvl w:val="4"/>
          <w:numId w:val="36"/>
        </w:numPr>
        <w:ind w:left="1418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Wymysłów Szkoła, 44-1257 – 100 kVA;</w:t>
      </w:r>
    </w:p>
    <w:p w14:paraId="2C466E60" w14:textId="77777777" w:rsidR="00DF03A1" w:rsidRDefault="00DF03A1" w:rsidP="00DF03A1">
      <w:pPr>
        <w:pStyle w:val="Akapitzlist"/>
        <w:numPr>
          <w:ilvl w:val="4"/>
          <w:numId w:val="36"/>
        </w:numPr>
        <w:ind w:left="1418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Pilawice 1, 44-0572 – 63 kVA;</w:t>
      </w:r>
    </w:p>
    <w:p w14:paraId="25052A19" w14:textId="77777777" w:rsidR="00DF03A1" w:rsidRDefault="00DF03A1" w:rsidP="00DF03A1">
      <w:pPr>
        <w:pStyle w:val="Akapitzlist"/>
        <w:numPr>
          <w:ilvl w:val="4"/>
          <w:numId w:val="36"/>
        </w:numPr>
        <w:ind w:left="1418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Feliksów 1, 44-0196 – 250 kVA;</w:t>
      </w:r>
    </w:p>
    <w:p w14:paraId="522CD706" w14:textId="77777777" w:rsidR="00DF03A1" w:rsidRDefault="00DF03A1" w:rsidP="00DF03A1">
      <w:pPr>
        <w:pStyle w:val="Akapitzlist"/>
        <w:numPr>
          <w:ilvl w:val="4"/>
          <w:numId w:val="36"/>
        </w:numPr>
        <w:ind w:left="1418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Feliksów 2, 44-0197 – 100 kVA;</w:t>
      </w:r>
    </w:p>
    <w:p w14:paraId="1D41E822" w14:textId="77777777" w:rsidR="00DF03A1" w:rsidRPr="004B4087" w:rsidRDefault="00DF03A1" w:rsidP="00DF03A1">
      <w:pPr>
        <w:pStyle w:val="Akapitzlist"/>
        <w:numPr>
          <w:ilvl w:val="4"/>
          <w:numId w:val="36"/>
        </w:numPr>
        <w:ind w:left="1418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lastRenderedPageBreak/>
        <w:t>Feliksów 3, 44-0198 – 63 kVA.</w:t>
      </w:r>
    </w:p>
    <w:p w14:paraId="047329DC" w14:textId="77777777" w:rsidR="00DF03A1" w:rsidRPr="004B4087" w:rsidRDefault="00DF03A1" w:rsidP="00DF03A1">
      <w:pPr>
        <w:widowControl w:val="0"/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</w:p>
    <w:p w14:paraId="511997AA" w14:textId="77777777" w:rsidR="00DF03A1" w:rsidRPr="004B4087" w:rsidRDefault="00DF03A1" w:rsidP="00DF03A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4B4087">
        <w:rPr>
          <w:rFonts w:ascii="Verdana" w:hAnsi="Verdana"/>
          <w:sz w:val="18"/>
          <w:szCs w:val="18"/>
        </w:rPr>
        <w:t xml:space="preserve"> zgłoszenia i uzgodnienia Harmonogramu planowanych wyłączeń zgodnego ze złożoną ofertą (załącznik nr 1 do umowy)  i warunkami </w:t>
      </w:r>
      <w:r w:rsidRPr="004B4087">
        <w:rPr>
          <w:rFonts w:ascii="Verdana" w:hAnsi="Verdana"/>
          <w:sz w:val="18"/>
          <w:szCs w:val="18"/>
          <w:lang w:val="pl-PL"/>
        </w:rPr>
        <w:t>ogłoszenia,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5DDC3E2E" w14:textId="77777777" w:rsidR="00DF03A1" w:rsidRPr="004B4087" w:rsidRDefault="00DF03A1" w:rsidP="00DF03A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SN objętych dokumentacją techniczną w sposób maksymalnie ograniczający przerwy w dostawie energii elektrycznej dla odbiorców. </w:t>
      </w:r>
    </w:p>
    <w:p w14:paraId="654A5A5A" w14:textId="77777777" w:rsidR="00DF03A1" w:rsidRPr="004B4087" w:rsidRDefault="00DF03A1" w:rsidP="00DF03A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„Instrukcj</w:t>
      </w:r>
      <w:r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prowadzenia prac przez firmy zewnętrzne w systemie samodopuszczeń w sieci PGE Dystrybucja S.A. Oddział </w:t>
      </w:r>
      <w:r w:rsidRPr="004B4087">
        <w:rPr>
          <w:rFonts w:ascii="Verdana" w:hAnsi="Verdana"/>
          <w:sz w:val="18"/>
          <w:szCs w:val="18"/>
        </w:rPr>
        <w:t>Łódź”</w:t>
      </w:r>
      <w:r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0792142" w14:textId="77777777" w:rsidR="00DF03A1" w:rsidRPr="004B4087" w:rsidRDefault="00DF03A1" w:rsidP="00DF03A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71FDD6C3" w14:textId="77777777" w:rsidR="00DF03A1" w:rsidRPr="004B4087" w:rsidRDefault="00DF03A1" w:rsidP="00DF03A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 xml:space="preserve">umowa stanowiąca załącznik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224E55C" w14:textId="77777777" w:rsidR="00DF03A1" w:rsidRPr="004B4087" w:rsidRDefault="00DF03A1" w:rsidP="00DF03A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PGE Dystrybucja S.A. Oddział Łódź winny posiadać upoważnienia podstawowe do wykonywania tych prac. Upoważnienie podstawowe </w:t>
      </w:r>
      <w:r w:rsidRPr="004B4087">
        <w:rPr>
          <w:rFonts w:ascii="Verdana" w:hAnsi="Verdana"/>
          <w:sz w:val="18"/>
          <w:szCs w:val="18"/>
          <w:lang w:val="pl-PL"/>
        </w:rPr>
        <w:t>dla</w:t>
      </w:r>
      <w:r w:rsidRPr="004B4087">
        <w:rPr>
          <w:rFonts w:ascii="Verdana" w:hAnsi="Verdana"/>
          <w:sz w:val="18"/>
          <w:szCs w:val="18"/>
        </w:rPr>
        <w:t xml:space="preserve"> osób zatrudnion</w:t>
      </w:r>
      <w:r w:rsidRPr="004B4087">
        <w:rPr>
          <w:rFonts w:ascii="Verdana" w:hAnsi="Verdana"/>
          <w:sz w:val="18"/>
          <w:szCs w:val="18"/>
          <w:lang w:val="pl-PL"/>
        </w:rPr>
        <w:t>ych</w:t>
      </w:r>
      <w:r w:rsidRPr="004B4087">
        <w:rPr>
          <w:rFonts w:ascii="Verdana" w:hAnsi="Verdana"/>
          <w:sz w:val="18"/>
          <w:szCs w:val="18"/>
        </w:rPr>
        <w:t xml:space="preserve"> przez firmę zewnętrzną </w:t>
      </w:r>
      <w:r w:rsidRPr="004B4087">
        <w:rPr>
          <w:rFonts w:ascii="Verdana" w:hAnsi="Verdana"/>
          <w:sz w:val="18"/>
          <w:szCs w:val="18"/>
          <w:lang w:val="pl-PL"/>
        </w:rPr>
        <w:t>nadaje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Pracodawc</w:t>
      </w:r>
      <w:r>
        <w:rPr>
          <w:rFonts w:ascii="Verdana" w:hAnsi="Verdana"/>
          <w:sz w:val="18"/>
          <w:szCs w:val="18"/>
          <w:lang w:val="pl-PL"/>
        </w:rPr>
        <w:t>a</w:t>
      </w:r>
      <w:r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elektroenergetycznych przy których będzie wykonywana praca. 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4B4087">
        <w:rPr>
          <w:rFonts w:ascii="Verdana" w:hAnsi="Verdana"/>
          <w:sz w:val="18"/>
          <w:szCs w:val="18"/>
          <w:lang w:val="pl-PL"/>
        </w:rPr>
        <w:t xml:space="preserve">  </w:t>
      </w:r>
    </w:p>
    <w:p w14:paraId="4C7FD143" w14:textId="77777777" w:rsidR="00DF03A1" w:rsidRPr="004B4087" w:rsidRDefault="00DF03A1" w:rsidP="00DF03A1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5E8BE52F" w14:textId="77777777" w:rsidR="00DF03A1" w:rsidRPr="004B4087" w:rsidRDefault="00DF03A1" w:rsidP="00DF03A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 i wyprodukowane nie wcześniej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>12 miesięcy 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 oraz spełniać określone poniżej wymagania techniczne</w:t>
      </w:r>
    </w:p>
    <w:p w14:paraId="37E420DB" w14:textId="77777777" w:rsidR="00DF03A1" w:rsidRPr="004B4087" w:rsidRDefault="00DF03A1" w:rsidP="00DF03A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 xml:space="preserve">umowa stanowiąca załącznik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45CD30CC" w14:textId="77777777" w:rsidR="00DF03A1" w:rsidRPr="004B4087" w:rsidRDefault="00DF03A1" w:rsidP="00DF03A1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6BD5E7A3" w14:textId="77777777" w:rsidR="00DF03A1" w:rsidRPr="004B4087" w:rsidRDefault="00DF03A1" w:rsidP="00DF03A1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Wymagania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</w:rPr>
        <w:t>dotyczące wykonywania robót demontażowych określa umowa stanowiąca załącznik</w:t>
      </w:r>
      <w:r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082436C7" w14:textId="77777777" w:rsidR="00DF03A1" w:rsidRPr="004B4087" w:rsidRDefault="00DF03A1" w:rsidP="00DF03A1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70562CC2" w14:textId="77777777" w:rsidR="00DF03A1" w:rsidRPr="004B4087" w:rsidRDefault="00DF03A1" w:rsidP="00DF03A1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 xml:space="preserve">Odbiory prac dokonywane są przez Zamawiającego zgodnie z „Ramową instrukcją przeprowadzania odbiorów obiektów budowlanych związanych z dystrybucją energii elektrycznej </w:t>
      </w:r>
      <w:r w:rsidRPr="004B4087">
        <w:rPr>
          <w:rFonts w:ascii="Verdana" w:hAnsi="Verdana"/>
          <w:sz w:val="18"/>
          <w:szCs w:val="18"/>
          <w:lang w:val="pl-PL"/>
        </w:rPr>
        <w:br/>
      </w:r>
      <w:r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Pr="004B4087">
        <w:rPr>
          <w:rFonts w:ascii="Verdana" w:hAnsi="Verdana"/>
          <w:sz w:val="18"/>
          <w:szCs w:val="18"/>
        </w:rPr>
        <w:t>robót budowlanych stanowiącej załącznik</w:t>
      </w:r>
      <w:r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Pr="004B4087">
        <w:rPr>
          <w:rFonts w:ascii="Verdana" w:hAnsi="Verdana"/>
          <w:i/>
          <w:sz w:val="18"/>
          <w:szCs w:val="18"/>
          <w:lang w:val="pl-PL"/>
        </w:rPr>
        <w:t>SWZ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4FFFEB8" w14:textId="77777777" w:rsidR="00DF03A1" w:rsidRPr="004B4087" w:rsidRDefault="00DF03A1" w:rsidP="00DF03A1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5BDBB694" w14:textId="77777777" w:rsidR="00DF03A1" w:rsidRPr="004B4087" w:rsidRDefault="00DF03A1" w:rsidP="00DF03A1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16F82E86" w14:textId="77777777" w:rsidR="00DF03A1" w:rsidRPr="004B4087" w:rsidRDefault="00DF03A1" w:rsidP="00DF03A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lastRenderedPageBreak/>
        <w:t>Uzgodnioną dokumentację techniczną</w:t>
      </w:r>
      <w:r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4A1D8D97" w14:textId="77777777" w:rsidR="00DF03A1" w:rsidRPr="004B4087" w:rsidRDefault="00DF03A1" w:rsidP="00DF03A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6ACDBB8F" w14:textId="77777777" w:rsidR="00DF03A1" w:rsidRPr="004B4087" w:rsidRDefault="00DF03A1" w:rsidP="00DF03A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71A157C1" w14:textId="77777777" w:rsidR="00DF03A1" w:rsidRPr="004B4087" w:rsidRDefault="00DF03A1" w:rsidP="00DF03A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przebiegiem trasy obiektu inwentarzowego </w:t>
      </w:r>
      <w:r w:rsidRPr="004B4087">
        <w:rPr>
          <w:rFonts w:ascii="Verdana" w:hAnsi="Verdana"/>
          <w:sz w:val="18"/>
          <w:szCs w:val="18"/>
          <w:lang w:val="pl-PL"/>
        </w:rPr>
        <w:t>(</w:t>
      </w:r>
      <w:r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Pr="004B4087">
        <w:rPr>
          <w:rFonts w:ascii="Verdana" w:hAnsi="Verdana"/>
          <w:sz w:val="18"/>
          <w:szCs w:val="18"/>
          <w:lang w:val="pl-PL"/>
        </w:rPr>
        <w:t>)</w:t>
      </w:r>
    </w:p>
    <w:p w14:paraId="55B07C3A" w14:textId="77777777" w:rsidR="00DF03A1" w:rsidRPr="004B4087" w:rsidRDefault="00DF03A1" w:rsidP="00DF03A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9A934F" w14:textId="77777777" w:rsidR="00DF03A1" w:rsidRPr="004B4087" w:rsidRDefault="00DF03A1" w:rsidP="00DF03A1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B124086" w14:textId="33CDCA1B" w:rsidR="00DF03A1" w:rsidRPr="004B4087" w:rsidRDefault="00DF03A1" w:rsidP="00DF03A1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>Załącznik nr 1</w:t>
      </w:r>
      <w:r w:rsidR="00754284">
        <w:rPr>
          <w:rFonts w:ascii="Verdana" w:hAnsi="Verdana"/>
          <w:color w:val="000000" w:themeColor="text1"/>
          <w:sz w:val="18"/>
          <w:szCs w:val="18"/>
          <w:lang w:eastAsia="x-none"/>
        </w:rPr>
        <w:t>.4</w:t>
      </w: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łączników SN w terenie.</w:t>
      </w:r>
    </w:p>
    <w:p w14:paraId="46423437" w14:textId="77777777" w:rsidR="00DF03A1" w:rsidRPr="00B168E6" w:rsidRDefault="00DF03A1" w:rsidP="00DF03A1">
      <w:pPr>
        <w:rPr>
          <w:rFonts w:asciiTheme="minorHAnsi" w:hAnsiTheme="minorHAnsi"/>
          <w:lang w:eastAsia="x-none"/>
        </w:rPr>
      </w:pPr>
    </w:p>
    <w:p w14:paraId="41D31420" w14:textId="77777777" w:rsidR="00DF03A1" w:rsidRPr="00D55F80" w:rsidRDefault="00DF03A1" w:rsidP="00D55F80">
      <w:pPr>
        <w:jc w:val="right"/>
        <w:rPr>
          <w:rFonts w:ascii="Verdana" w:eastAsia="Verdana" w:hAnsi="Verdana"/>
          <w:b/>
          <w:sz w:val="18"/>
          <w:szCs w:val="18"/>
        </w:rPr>
      </w:pPr>
    </w:p>
    <w:sectPr w:rsidR="00DF03A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5B6D0833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0E070B6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POST/DYS/OLD/GZ/04584/2025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6F5AC46D" w:rsidR="00D55F80" w:rsidRDefault="00D55F80" w:rsidP="00D55F80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7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8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0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4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5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3"/>
  </w:num>
  <w:num w:numId="2" w16cid:durableId="1666781076">
    <w:abstractNumId w:val="73"/>
  </w:num>
  <w:num w:numId="3" w16cid:durableId="695618621">
    <w:abstractNumId w:val="79"/>
  </w:num>
  <w:num w:numId="4" w16cid:durableId="1491143360">
    <w:abstractNumId w:val="84"/>
  </w:num>
  <w:num w:numId="5" w16cid:durableId="229658365">
    <w:abstractNumId w:val="71"/>
  </w:num>
  <w:num w:numId="6" w16cid:durableId="729231014">
    <w:abstractNumId w:val="81"/>
  </w:num>
  <w:num w:numId="7" w16cid:durableId="2000502219">
    <w:abstractNumId w:val="89"/>
  </w:num>
  <w:num w:numId="8" w16cid:durableId="1306932007">
    <w:abstractNumId w:val="88"/>
  </w:num>
  <w:num w:numId="9" w16cid:durableId="727918753">
    <w:abstractNumId w:val="61"/>
  </w:num>
  <w:num w:numId="10" w16cid:durableId="960380475">
    <w:abstractNumId w:val="87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4"/>
  </w:num>
  <w:num w:numId="16" w16cid:durableId="1599559039">
    <w:abstractNumId w:val="82"/>
  </w:num>
  <w:num w:numId="17" w16cid:durableId="2051405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4"/>
  </w:num>
  <w:num w:numId="20" w16cid:durableId="1685479152">
    <w:abstractNumId w:val="62"/>
  </w:num>
  <w:num w:numId="21" w16cid:durableId="58140308">
    <w:abstractNumId w:val="72"/>
  </w:num>
  <w:num w:numId="22" w16cid:durableId="947393248">
    <w:abstractNumId w:val="67"/>
  </w:num>
  <w:num w:numId="23" w16cid:durableId="1195923593">
    <w:abstractNumId w:val="60"/>
  </w:num>
  <w:num w:numId="24" w16cid:durableId="336348223">
    <w:abstractNumId w:val="85"/>
  </w:num>
  <w:num w:numId="25" w16cid:durableId="862862901">
    <w:abstractNumId w:val="69"/>
  </w:num>
  <w:num w:numId="26" w16cid:durableId="1364868577">
    <w:abstractNumId w:val="55"/>
  </w:num>
  <w:num w:numId="27" w16cid:durableId="494304781">
    <w:abstractNumId w:val="75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7"/>
  </w:num>
  <w:num w:numId="33" w16cid:durableId="1891070939">
    <w:abstractNumId w:val="65"/>
  </w:num>
  <w:num w:numId="34" w16cid:durableId="952401735">
    <w:abstractNumId w:val="80"/>
  </w:num>
  <w:num w:numId="35" w16cid:durableId="122307402">
    <w:abstractNumId w:val="78"/>
  </w:num>
  <w:num w:numId="36" w16cid:durableId="147333472">
    <w:abstractNumId w:val="68"/>
  </w:num>
  <w:num w:numId="37" w16cid:durableId="14574755">
    <w:abstractNumId w:val="86"/>
  </w:num>
  <w:num w:numId="38" w16cid:durableId="1285697790">
    <w:abstractNumId w:val="54"/>
  </w:num>
  <w:num w:numId="39" w16cid:durableId="768038164">
    <w:abstractNumId w:val="76"/>
  </w:num>
  <w:num w:numId="40" w16cid:durableId="23290739">
    <w:abstractNumId w:val="70"/>
  </w:num>
  <w:num w:numId="41" w16cid:durableId="495654263">
    <w:abstractNumId w:val="83"/>
  </w:num>
  <w:num w:numId="42" w16cid:durableId="46995121">
    <w:abstractNumId w:val="53"/>
  </w:num>
  <w:num w:numId="43" w16cid:durableId="2036075395">
    <w:abstractNumId w:val="6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C6EDB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1C7"/>
    <w:rsid w:val="001F7BBB"/>
    <w:rsid w:val="00200EB8"/>
    <w:rsid w:val="00201010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1AEA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B30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5C6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4A2B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4BB6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0D64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284"/>
    <w:rsid w:val="00754743"/>
    <w:rsid w:val="00755F52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691A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5D9E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0F33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71D"/>
    <w:rsid w:val="00D02FB0"/>
    <w:rsid w:val="00D03C82"/>
    <w:rsid w:val="00D0552D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723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A1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06D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044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63F0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 - Specyfikacja techniczna 2026 - część 4.docx</dmsv2BaseFileName>
    <dmsv2BaseDisplayName xmlns="http://schemas.microsoft.com/sharepoint/v3">Załącznik nr 1.3 do SWZ  - Specyfikacja techniczna 2026 - część 4</dmsv2BaseDisplayName>
    <dmsv2SWPP2ObjectNumber xmlns="http://schemas.microsoft.com/sharepoint/v3">POST/DYS/OLD/GZ/04584/2025                        </dmsv2SWPP2ObjectNumber>
    <dmsv2SWPP2SumMD5 xmlns="http://schemas.microsoft.com/sharepoint/v3">37ef2f449609b544de9785c96bc04b9a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24031286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JEUP5JKVCYQC-1133723987-27790</_dlc_DocId>
    <_dlc_DocIdUrl xmlns="a19cb1c7-c5c7-46d4-85ae-d83685407bba">
      <Url>https://swpp2.dms.gkpge.pl/sites/41/_layouts/15/DocIdRedir.aspx?ID=JEUP5JKVCYQC-1133723987-27790</Url>
      <Description>JEUP5JKVCYQC-1133723987-27790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70519A0-54A5-44D5-B64D-F1B9C220D73F}"/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1374</Words>
  <Characters>9783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5</cp:revision>
  <cp:lastPrinted>2011-10-20T15:55:00Z</cp:lastPrinted>
  <dcterms:created xsi:type="dcterms:W3CDTF">2025-12-18T09:10:00Z</dcterms:created>
  <dcterms:modified xsi:type="dcterms:W3CDTF">2025-12-18T09:56:00Z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5ba2f0b9-d987-4bfa-bfbe-7a328f70197f</vt:lpwstr>
  </property>
</Properties>
</file>